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0047" w14:textId="77777777" w:rsidR="007E4290" w:rsidRPr="007E4290" w:rsidRDefault="007E4290" w:rsidP="007E4290">
      <w:pPr>
        <w:jc w:val="center"/>
        <w:rPr>
          <w:b/>
          <w:sz w:val="32"/>
          <w:szCs w:val="32"/>
        </w:rPr>
      </w:pPr>
      <w:r w:rsidRPr="007E4290">
        <w:rPr>
          <w:b/>
          <w:sz w:val="32"/>
          <w:szCs w:val="32"/>
        </w:rPr>
        <w:t xml:space="preserve">Group </w:t>
      </w:r>
      <w:r w:rsidR="00E5086D" w:rsidRPr="00BF1C0E">
        <w:rPr>
          <w:b/>
          <w:sz w:val="32"/>
          <w:szCs w:val="32"/>
        </w:rPr>
        <w:t>Booking</w:t>
      </w:r>
      <w:r w:rsidRPr="007E4290">
        <w:rPr>
          <w:b/>
          <w:sz w:val="32"/>
          <w:szCs w:val="32"/>
        </w:rPr>
        <w:t xml:space="preserve"> Form</w:t>
      </w:r>
    </w:p>
    <w:p w14:paraId="22A1946A" w14:textId="77777777" w:rsidR="007E4290" w:rsidRDefault="007E4290" w:rsidP="007E4290">
      <w:pPr>
        <w:jc w:val="center"/>
      </w:pPr>
    </w:p>
    <w:p w14:paraId="2BC75A36" w14:textId="77777777" w:rsidR="007E4290" w:rsidRPr="006D1203" w:rsidRDefault="007E4290" w:rsidP="00322B08">
      <w:pPr>
        <w:tabs>
          <w:tab w:val="left" w:pos="8910"/>
          <w:tab w:val="left" w:pos="12240"/>
        </w:tabs>
        <w:ind w:left="-810" w:right="-810"/>
        <w:rPr>
          <w:sz w:val="24"/>
          <w:szCs w:val="24"/>
        </w:rPr>
      </w:pPr>
      <w:r w:rsidRPr="006D1203">
        <w:rPr>
          <w:b/>
          <w:sz w:val="24"/>
          <w:szCs w:val="24"/>
        </w:rPr>
        <w:t>Group/Sponsor Name:</w:t>
      </w:r>
      <w:r w:rsidRPr="006D1203">
        <w:rPr>
          <w:sz w:val="24"/>
          <w:szCs w:val="24"/>
          <w:u w:val="single"/>
        </w:rPr>
        <w:tab/>
      </w:r>
      <w:r w:rsidRPr="006D1203">
        <w:rPr>
          <w:b/>
          <w:sz w:val="24"/>
          <w:szCs w:val="24"/>
        </w:rPr>
        <w:t>Date:</w:t>
      </w:r>
      <w:r w:rsidRPr="006D1203">
        <w:rPr>
          <w:sz w:val="24"/>
          <w:szCs w:val="24"/>
          <w:u w:val="single"/>
        </w:rPr>
        <w:t xml:space="preserve"> </w:t>
      </w:r>
      <w:r w:rsidRPr="006D1203">
        <w:rPr>
          <w:sz w:val="24"/>
          <w:szCs w:val="24"/>
          <w:u w:val="single"/>
        </w:rPr>
        <w:tab/>
      </w:r>
      <w:r w:rsidR="00322B08" w:rsidRPr="006D1203">
        <w:rPr>
          <w:sz w:val="24"/>
          <w:szCs w:val="24"/>
          <w:u w:val="single"/>
        </w:rPr>
        <w:tab/>
      </w:r>
    </w:p>
    <w:p w14:paraId="19DC89D5" w14:textId="77777777" w:rsidR="007E4290" w:rsidRDefault="007E4290"/>
    <w:p w14:paraId="3CA07D68" w14:textId="77777777" w:rsidR="007E4290" w:rsidRPr="006D1203" w:rsidRDefault="00766947" w:rsidP="00766947">
      <w:pPr>
        <w:ind w:left="-810"/>
        <w:rPr>
          <w:b/>
          <w:sz w:val="24"/>
          <w:szCs w:val="24"/>
        </w:rPr>
      </w:pPr>
      <w:r w:rsidRPr="006D1203">
        <w:rPr>
          <w:b/>
          <w:sz w:val="24"/>
          <w:szCs w:val="24"/>
        </w:rPr>
        <w:t>Please fill in the number of rooms that you are requesting for each day</w:t>
      </w:r>
      <w:r w:rsidR="00F96564">
        <w:rPr>
          <w:b/>
          <w:sz w:val="24"/>
          <w:szCs w:val="24"/>
        </w:rPr>
        <w:t xml:space="preserve"> </w:t>
      </w:r>
      <w:r w:rsidR="00F96564" w:rsidRPr="006D1203">
        <w:rPr>
          <w:b/>
          <w:sz w:val="24"/>
          <w:szCs w:val="24"/>
        </w:rPr>
        <w:t>in the table below</w:t>
      </w:r>
      <w:r w:rsidRPr="006D1203">
        <w:rPr>
          <w:b/>
          <w:sz w:val="24"/>
          <w:szCs w:val="24"/>
        </w:rPr>
        <w:t>.</w:t>
      </w:r>
    </w:p>
    <w:tbl>
      <w:tblPr>
        <w:tblStyle w:val="TableGrid"/>
        <w:tblW w:w="13694" w:type="dxa"/>
        <w:tblInd w:w="-815" w:type="dxa"/>
        <w:tblLook w:val="04A0" w:firstRow="1" w:lastRow="0" w:firstColumn="1" w:lastColumn="0" w:noHBand="0" w:noVBand="1"/>
      </w:tblPr>
      <w:tblGrid>
        <w:gridCol w:w="1868"/>
        <w:gridCol w:w="1602"/>
        <w:gridCol w:w="1249"/>
        <w:gridCol w:w="1076"/>
        <w:gridCol w:w="1075"/>
        <w:gridCol w:w="1194"/>
        <w:gridCol w:w="1077"/>
        <w:gridCol w:w="1071"/>
        <w:gridCol w:w="1165"/>
        <w:gridCol w:w="1073"/>
        <w:gridCol w:w="1244"/>
      </w:tblGrid>
      <w:tr w:rsidR="009B32A8" w14:paraId="286FF2FD" w14:textId="77777777" w:rsidTr="009B32A8">
        <w:tc>
          <w:tcPr>
            <w:tcW w:w="1868" w:type="dxa"/>
            <w:shd w:val="clear" w:color="auto" w:fill="BDD6EE" w:themeFill="accent1" w:themeFillTint="66"/>
          </w:tcPr>
          <w:p w14:paraId="73F7CE21" w14:textId="77777777" w:rsidR="009B32A8" w:rsidRPr="006D1203" w:rsidRDefault="009B3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Room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14:paraId="04ABAF8B" w14:textId="77777777" w:rsidR="009B32A8" w:rsidRPr="006D1203" w:rsidRDefault="009B32A8">
            <w:pPr>
              <w:rPr>
                <w:b/>
                <w:sz w:val="20"/>
                <w:szCs w:val="20"/>
              </w:rPr>
            </w:pPr>
            <w:r w:rsidRPr="006D1203">
              <w:rPr>
                <w:b/>
                <w:sz w:val="20"/>
                <w:szCs w:val="20"/>
              </w:rPr>
              <w:t>Rates SGL/DBL</w:t>
            </w:r>
          </w:p>
        </w:tc>
        <w:tc>
          <w:tcPr>
            <w:tcW w:w="1249" w:type="dxa"/>
            <w:shd w:val="clear" w:color="auto" w:fill="BDD6EE" w:themeFill="accent1" w:themeFillTint="66"/>
          </w:tcPr>
          <w:p w14:paraId="497A1C2C" w14:textId="3A1B71C0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Sunday    </w:t>
            </w:r>
            <w:r w:rsidRPr="006D12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14:paraId="6C97920F" w14:textId="79E8708D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</w:t>
            </w:r>
            <w:r w:rsidRPr="006D12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14:paraId="0DCB2DA2" w14:textId="388F4EBD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 </w:t>
            </w:r>
            <w:r w:rsidRPr="006D12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94" w:type="dxa"/>
            <w:shd w:val="clear" w:color="auto" w:fill="BDD6EE" w:themeFill="accent1" w:themeFillTint="66"/>
          </w:tcPr>
          <w:p w14:paraId="46A24DC8" w14:textId="052E9866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 w:rsidRPr="006D12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77" w:type="dxa"/>
            <w:shd w:val="clear" w:color="auto" w:fill="BDD6EE" w:themeFill="accent1" w:themeFillTint="66"/>
          </w:tcPr>
          <w:p w14:paraId="5B8ED8C2" w14:textId="07FECBB1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14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71" w:type="dxa"/>
            <w:shd w:val="clear" w:color="auto" w:fill="BDD6EE" w:themeFill="accent1" w:themeFillTint="66"/>
          </w:tcPr>
          <w:p w14:paraId="121E61EC" w14:textId="0A3E635E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 15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14:paraId="329F4D3D" w14:textId="4F5B3FD4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16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73" w:type="dxa"/>
            <w:shd w:val="clear" w:color="auto" w:fill="BDD6EE" w:themeFill="accent1" w:themeFillTint="66"/>
          </w:tcPr>
          <w:p w14:paraId="2462E0F9" w14:textId="7CEDD04E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17</w:t>
            </w:r>
            <w:r w:rsidRPr="006D1203">
              <w:rPr>
                <w:b/>
                <w:sz w:val="20"/>
                <w:szCs w:val="20"/>
              </w:rPr>
              <w:t>-Jan-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44" w:type="dxa"/>
            <w:shd w:val="clear" w:color="auto" w:fill="BDD6EE" w:themeFill="accent1" w:themeFillTint="66"/>
          </w:tcPr>
          <w:p w14:paraId="1C05E005" w14:textId="77777777" w:rsidR="009B32A8" w:rsidRPr="006D1203" w:rsidRDefault="009B32A8" w:rsidP="00392579">
            <w:pPr>
              <w:jc w:val="center"/>
              <w:rPr>
                <w:b/>
                <w:sz w:val="20"/>
                <w:szCs w:val="20"/>
              </w:rPr>
            </w:pPr>
            <w:r w:rsidRPr="006D1203">
              <w:rPr>
                <w:b/>
                <w:sz w:val="20"/>
                <w:szCs w:val="20"/>
              </w:rPr>
              <w:t>Total</w:t>
            </w:r>
          </w:p>
        </w:tc>
      </w:tr>
      <w:tr w:rsidR="009B32A8" w14:paraId="2F404149" w14:textId="77777777" w:rsidTr="009B32A8">
        <w:trPr>
          <w:trHeight w:val="485"/>
        </w:trPr>
        <w:tc>
          <w:tcPr>
            <w:tcW w:w="1868" w:type="dxa"/>
          </w:tcPr>
          <w:p w14:paraId="69C9AD99" w14:textId="0141506B" w:rsidR="009B32A8" w:rsidRPr="006D1203" w:rsidRDefault="009B32A8">
            <w:r w:rsidRPr="006D1203">
              <w:t>Standard</w:t>
            </w:r>
            <w:r w:rsidR="00185B7E">
              <w:t xml:space="preserve"> </w:t>
            </w:r>
            <w:r w:rsidR="008B4A91">
              <w:t>Small</w:t>
            </w:r>
          </w:p>
        </w:tc>
        <w:tc>
          <w:tcPr>
            <w:tcW w:w="1602" w:type="dxa"/>
          </w:tcPr>
          <w:p w14:paraId="7915B0AD" w14:textId="5CE30E03" w:rsidR="009B32A8" w:rsidRPr="006D1203" w:rsidRDefault="009B32A8"/>
        </w:tc>
        <w:tc>
          <w:tcPr>
            <w:tcW w:w="1249" w:type="dxa"/>
          </w:tcPr>
          <w:p w14:paraId="5027E4D8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25830005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DA49995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EA4B3D6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2F93CFE4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549B2BAD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FE7817C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4F5F52A1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54CBF343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</w:tr>
      <w:tr w:rsidR="009B32A8" w14:paraId="421833BA" w14:textId="77777777" w:rsidTr="009B32A8">
        <w:trPr>
          <w:trHeight w:val="539"/>
        </w:trPr>
        <w:tc>
          <w:tcPr>
            <w:tcW w:w="1868" w:type="dxa"/>
          </w:tcPr>
          <w:p w14:paraId="4F154F3B" w14:textId="3CD40CDA" w:rsidR="009B32A8" w:rsidRPr="006D1203" w:rsidRDefault="008B4A91">
            <w:r>
              <w:t>Standard</w:t>
            </w:r>
          </w:p>
        </w:tc>
        <w:tc>
          <w:tcPr>
            <w:tcW w:w="1602" w:type="dxa"/>
          </w:tcPr>
          <w:p w14:paraId="7F8D6FBC" w14:textId="0D9D827A" w:rsidR="009B32A8" w:rsidRPr="006D1203" w:rsidRDefault="009B32A8"/>
        </w:tc>
        <w:tc>
          <w:tcPr>
            <w:tcW w:w="1249" w:type="dxa"/>
          </w:tcPr>
          <w:p w14:paraId="70046F50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752F3F2E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097AFF0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6455724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6D2CC875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6A131C2C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7A2CC4EF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228BF5D1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46DDB291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</w:tr>
      <w:tr w:rsidR="008B4A91" w14:paraId="24E56C9F" w14:textId="77777777" w:rsidTr="009B32A8">
        <w:trPr>
          <w:trHeight w:val="539"/>
        </w:trPr>
        <w:tc>
          <w:tcPr>
            <w:tcW w:w="1868" w:type="dxa"/>
          </w:tcPr>
          <w:p w14:paraId="065FA58C" w14:textId="5E9CA0CF" w:rsidR="008B4A91" w:rsidRPr="006D1203" w:rsidRDefault="008B4A91">
            <w:r>
              <w:t>Sky</w:t>
            </w:r>
          </w:p>
        </w:tc>
        <w:tc>
          <w:tcPr>
            <w:tcW w:w="1602" w:type="dxa"/>
          </w:tcPr>
          <w:p w14:paraId="1E5E905A" w14:textId="77777777" w:rsidR="008B4A91" w:rsidRPr="006D1203" w:rsidRDefault="008B4A91"/>
        </w:tc>
        <w:tc>
          <w:tcPr>
            <w:tcW w:w="1249" w:type="dxa"/>
          </w:tcPr>
          <w:p w14:paraId="2CD491C8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71E96B43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2C4DFBB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5C7BC1B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0A885A56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2BFE58E7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7A57095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00DCD5BB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330012FE" w14:textId="77777777" w:rsidR="008B4A91" w:rsidRPr="007E4290" w:rsidRDefault="008B4A91" w:rsidP="00392579">
            <w:pPr>
              <w:jc w:val="center"/>
              <w:rPr>
                <w:sz w:val="20"/>
                <w:szCs w:val="20"/>
              </w:rPr>
            </w:pPr>
          </w:p>
        </w:tc>
      </w:tr>
      <w:tr w:rsidR="009B32A8" w14:paraId="14422B61" w14:textId="77777777" w:rsidTr="009B32A8">
        <w:trPr>
          <w:trHeight w:val="476"/>
        </w:trPr>
        <w:tc>
          <w:tcPr>
            <w:tcW w:w="3470" w:type="dxa"/>
            <w:gridSpan w:val="2"/>
          </w:tcPr>
          <w:p w14:paraId="35853240" w14:textId="77777777" w:rsidR="009B32A8" w:rsidRPr="00DD024A" w:rsidRDefault="009B32A8" w:rsidP="00DD024A">
            <w:pPr>
              <w:jc w:val="right"/>
              <w:rPr>
                <w:b/>
              </w:rPr>
            </w:pPr>
            <w:r w:rsidRPr="00DD024A">
              <w:rPr>
                <w:b/>
              </w:rPr>
              <w:t>Totals:</w:t>
            </w:r>
          </w:p>
        </w:tc>
        <w:tc>
          <w:tcPr>
            <w:tcW w:w="1249" w:type="dxa"/>
            <w:shd w:val="clear" w:color="auto" w:fill="FFFFFF" w:themeFill="background1"/>
          </w:tcPr>
          <w:p w14:paraId="51E58642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6D5C76FA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0F4D4F55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23E922C2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1E72CC4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5CAD2F32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7AF882C1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14:paraId="2ABD0E0A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23F54AC5" w14:textId="77777777" w:rsidR="009B32A8" w:rsidRPr="007E4290" w:rsidRDefault="009B32A8" w:rsidP="003925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86EA7A" w14:textId="6417AC71" w:rsidR="00322B08" w:rsidRPr="008B4A91" w:rsidRDefault="00D9135B" w:rsidP="00D9135B">
      <w:pPr>
        <w:spacing w:after="0"/>
        <w:ind w:left="-806" w:right="-806"/>
        <w:jc w:val="center"/>
        <w:rPr>
          <w:b/>
          <w:sz w:val="24"/>
          <w:szCs w:val="24"/>
        </w:rPr>
      </w:pPr>
      <w:r w:rsidRPr="008B4A91">
        <w:rPr>
          <w:b/>
          <w:sz w:val="24"/>
          <w:szCs w:val="24"/>
        </w:rPr>
        <w:t>*</w:t>
      </w:r>
      <w:r w:rsidR="00322B08" w:rsidRPr="008B4A91">
        <w:rPr>
          <w:b/>
          <w:sz w:val="24"/>
          <w:szCs w:val="24"/>
        </w:rPr>
        <w:t>Reservations may</w:t>
      </w:r>
      <w:r w:rsidR="00905F5D" w:rsidRPr="008B4A91">
        <w:rPr>
          <w:b/>
          <w:sz w:val="24"/>
          <w:szCs w:val="24"/>
        </w:rPr>
        <w:t xml:space="preserve"> be requested for Junior Suites and</w:t>
      </w:r>
      <w:r w:rsidR="00322B08" w:rsidRPr="008B4A91">
        <w:rPr>
          <w:b/>
          <w:sz w:val="24"/>
          <w:szCs w:val="24"/>
        </w:rPr>
        <w:t xml:space="preserve"> Executive and Deluxe rooms. </w:t>
      </w:r>
      <w:r w:rsidR="00F96564" w:rsidRPr="008B4A91">
        <w:rPr>
          <w:b/>
          <w:sz w:val="24"/>
          <w:szCs w:val="24"/>
        </w:rPr>
        <w:t xml:space="preserve">Only a </w:t>
      </w:r>
      <w:r w:rsidR="00322B08" w:rsidRPr="008B4A91">
        <w:rPr>
          <w:b/>
          <w:sz w:val="24"/>
          <w:szCs w:val="24"/>
        </w:rPr>
        <w:t xml:space="preserve">limited </w:t>
      </w:r>
      <w:r w:rsidR="00F96564" w:rsidRPr="008B4A91">
        <w:rPr>
          <w:b/>
          <w:sz w:val="24"/>
          <w:szCs w:val="24"/>
        </w:rPr>
        <w:t xml:space="preserve">number of these rooms </w:t>
      </w:r>
      <w:r w:rsidR="00EF7377" w:rsidRPr="008B4A91">
        <w:rPr>
          <w:b/>
          <w:sz w:val="24"/>
          <w:szCs w:val="24"/>
        </w:rPr>
        <w:t>are</w:t>
      </w:r>
      <w:r w:rsidR="00F96564" w:rsidRPr="008B4A91">
        <w:rPr>
          <w:b/>
          <w:sz w:val="24"/>
          <w:szCs w:val="24"/>
        </w:rPr>
        <w:t xml:space="preserve"> available, </w:t>
      </w:r>
      <w:r w:rsidR="00322B08" w:rsidRPr="008B4A91">
        <w:rPr>
          <w:b/>
          <w:sz w:val="24"/>
          <w:szCs w:val="24"/>
        </w:rPr>
        <w:t xml:space="preserve">and </w:t>
      </w:r>
      <w:r w:rsidR="00F96564" w:rsidRPr="008B4A91">
        <w:rPr>
          <w:b/>
          <w:sz w:val="24"/>
          <w:szCs w:val="24"/>
        </w:rPr>
        <w:t xml:space="preserve">they </w:t>
      </w:r>
      <w:r w:rsidR="00322B08" w:rsidRPr="008B4A91">
        <w:rPr>
          <w:b/>
          <w:sz w:val="24"/>
          <w:szCs w:val="24"/>
        </w:rPr>
        <w:t xml:space="preserve">will be </w:t>
      </w:r>
      <w:r w:rsidR="00905F5D" w:rsidRPr="008B4A91">
        <w:rPr>
          <w:b/>
          <w:sz w:val="24"/>
          <w:szCs w:val="24"/>
        </w:rPr>
        <w:t>offered on a first-</w:t>
      </w:r>
      <w:r w:rsidR="00322B08" w:rsidRPr="008B4A91">
        <w:rPr>
          <w:b/>
          <w:sz w:val="24"/>
          <w:szCs w:val="24"/>
        </w:rPr>
        <w:t>come</w:t>
      </w:r>
      <w:r w:rsidR="00BC0578">
        <w:rPr>
          <w:b/>
          <w:sz w:val="24"/>
          <w:szCs w:val="24"/>
        </w:rPr>
        <w:t xml:space="preserve">, </w:t>
      </w:r>
      <w:r w:rsidR="00905F5D" w:rsidRPr="008B4A91">
        <w:rPr>
          <w:b/>
          <w:sz w:val="24"/>
          <w:szCs w:val="24"/>
        </w:rPr>
        <w:t>first-</w:t>
      </w:r>
      <w:r w:rsidR="00322B08" w:rsidRPr="008B4A91">
        <w:rPr>
          <w:b/>
          <w:sz w:val="24"/>
          <w:szCs w:val="24"/>
        </w:rPr>
        <w:t>served</w:t>
      </w:r>
      <w:r w:rsidR="00905F5D" w:rsidRPr="008B4A91">
        <w:rPr>
          <w:b/>
          <w:sz w:val="24"/>
          <w:szCs w:val="24"/>
        </w:rPr>
        <w:t xml:space="preserve"> basis</w:t>
      </w:r>
      <w:r w:rsidR="00322B08" w:rsidRPr="008B4A91">
        <w:rPr>
          <w:b/>
          <w:sz w:val="24"/>
          <w:szCs w:val="24"/>
        </w:rPr>
        <w:t xml:space="preserve">. Please note </w:t>
      </w:r>
      <w:r w:rsidR="00905F5D" w:rsidRPr="008B4A91">
        <w:rPr>
          <w:b/>
          <w:sz w:val="24"/>
          <w:szCs w:val="24"/>
        </w:rPr>
        <w:t xml:space="preserve">that room </w:t>
      </w:r>
      <w:r w:rsidR="00322B08" w:rsidRPr="008B4A91">
        <w:rPr>
          <w:b/>
          <w:sz w:val="24"/>
          <w:szCs w:val="24"/>
        </w:rPr>
        <w:t>rates may vary from the standard group rate. You will be not</w:t>
      </w:r>
      <w:r w:rsidR="00905F5D" w:rsidRPr="008B4A91">
        <w:rPr>
          <w:b/>
          <w:sz w:val="24"/>
          <w:szCs w:val="24"/>
        </w:rPr>
        <w:t>ified after the rooming list is prepared</w:t>
      </w:r>
      <w:r w:rsidR="00322B08" w:rsidRPr="008B4A91">
        <w:rPr>
          <w:b/>
          <w:sz w:val="24"/>
          <w:szCs w:val="24"/>
        </w:rPr>
        <w:t xml:space="preserve"> if these </w:t>
      </w:r>
      <w:r w:rsidR="00905F5D" w:rsidRPr="008B4A91">
        <w:rPr>
          <w:b/>
          <w:sz w:val="24"/>
          <w:szCs w:val="24"/>
        </w:rPr>
        <w:t xml:space="preserve">types of </w:t>
      </w:r>
      <w:r w:rsidR="00322B08" w:rsidRPr="008B4A91">
        <w:rPr>
          <w:b/>
          <w:sz w:val="24"/>
          <w:szCs w:val="24"/>
        </w:rPr>
        <w:t>room</w:t>
      </w:r>
      <w:r w:rsidR="00905F5D" w:rsidRPr="008B4A91">
        <w:rPr>
          <w:b/>
          <w:sz w:val="24"/>
          <w:szCs w:val="24"/>
        </w:rPr>
        <w:t>s</w:t>
      </w:r>
      <w:r w:rsidR="00F96564" w:rsidRPr="008B4A91">
        <w:rPr>
          <w:b/>
          <w:sz w:val="24"/>
          <w:szCs w:val="24"/>
        </w:rPr>
        <w:t xml:space="preserve"> have been assigned</w:t>
      </w:r>
      <w:r w:rsidR="00322B08" w:rsidRPr="008B4A91">
        <w:rPr>
          <w:b/>
          <w:sz w:val="24"/>
          <w:szCs w:val="24"/>
        </w:rPr>
        <w:t>.</w:t>
      </w:r>
    </w:p>
    <w:p w14:paraId="57DE13AD" w14:textId="77777777" w:rsidR="00D9135B" w:rsidRDefault="00D9135B" w:rsidP="00322B08">
      <w:pPr>
        <w:ind w:left="-810" w:right="-810"/>
        <w:jc w:val="center"/>
        <w:rPr>
          <w:b/>
          <w:sz w:val="24"/>
          <w:szCs w:val="24"/>
        </w:rPr>
      </w:pPr>
    </w:p>
    <w:p w14:paraId="7DA5A704" w14:textId="4ED20AFA" w:rsidR="005A2F64" w:rsidRPr="00F35051" w:rsidRDefault="00F35051" w:rsidP="00BF1C0E">
      <w:pPr>
        <w:ind w:left="-630"/>
        <w:rPr>
          <w:b/>
          <w:sz w:val="24"/>
          <w:szCs w:val="24"/>
        </w:rPr>
      </w:pPr>
      <w:r w:rsidRPr="00BF1C0E">
        <w:rPr>
          <w:b/>
          <w:sz w:val="24"/>
          <w:szCs w:val="24"/>
          <w:u w:val="single"/>
          <w:lang w:val="en-GB"/>
        </w:rPr>
        <w:t xml:space="preserve">Booking method: </w:t>
      </w:r>
      <w:r w:rsidRPr="00BF1C0E">
        <w:rPr>
          <w:sz w:val="24"/>
          <w:szCs w:val="24"/>
          <w:lang w:val="en-GB"/>
        </w:rPr>
        <w:t xml:space="preserve">The groups will be booked via rooming list with specific terms and conditions agreed with a contract between the parties. </w:t>
      </w:r>
      <w:r w:rsidRPr="00BF1C0E">
        <w:t>The hotel should receive the rooming list for the reserved number of rooms as well as any further specific services required in the requested format (</w:t>
      </w:r>
      <w:r w:rsidR="00D923EC">
        <w:t>E</w:t>
      </w:r>
      <w:r w:rsidRPr="00BF1C0E">
        <w:t>xcel template) no later than 2</w:t>
      </w:r>
      <w:r w:rsidR="008B4A91">
        <w:t>4</w:t>
      </w:r>
      <w:r w:rsidRPr="00BF1C0E">
        <w:t xml:space="preserve"> days prior to first arrival date</w:t>
      </w:r>
      <w:r w:rsidRPr="00BF1C0E">
        <w:rPr>
          <w:noProof/>
        </w:rPr>
        <w:t xml:space="preserve">, on the </w:t>
      </w:r>
      <w:r w:rsidR="008B4A91">
        <w:rPr>
          <w:noProof/>
        </w:rPr>
        <w:t>20</w:t>
      </w:r>
      <w:r w:rsidRPr="00BF1C0E">
        <w:rPr>
          <w:noProof/>
        </w:rPr>
        <w:t>-</w:t>
      </w:r>
      <w:r w:rsidR="008B4A91">
        <w:rPr>
          <w:noProof/>
        </w:rPr>
        <w:t>12</w:t>
      </w:r>
      <w:r w:rsidRPr="00BF1C0E">
        <w:rPr>
          <w:noProof/>
        </w:rPr>
        <w:t>-</w:t>
      </w:r>
      <w:r w:rsidR="008B4A91">
        <w:rPr>
          <w:noProof/>
        </w:rPr>
        <w:t>2020</w:t>
      </w:r>
      <w:r w:rsidRPr="00BF1C0E">
        <w:rPr>
          <w:noProof/>
          <w:u w:val="single"/>
        </w:rPr>
        <w:t>, latest 12 o’clock noon CET</w:t>
      </w:r>
    </w:p>
    <w:p w14:paraId="5705361E" w14:textId="77777777" w:rsidR="00046C01" w:rsidRDefault="00046C01" w:rsidP="00046C01">
      <w:pPr>
        <w:rPr>
          <w:b/>
          <w:sz w:val="28"/>
          <w:szCs w:val="28"/>
        </w:rPr>
      </w:pPr>
    </w:p>
    <w:p w14:paraId="7DFA0BDD" w14:textId="77777777" w:rsidR="00046C01" w:rsidRDefault="00046C01" w:rsidP="00046C01">
      <w:pPr>
        <w:rPr>
          <w:b/>
          <w:sz w:val="28"/>
          <w:szCs w:val="28"/>
        </w:rPr>
      </w:pPr>
    </w:p>
    <w:p w14:paraId="7CA61DDC" w14:textId="0D83CBFA" w:rsidR="00777235" w:rsidRDefault="00777235" w:rsidP="00801B6B">
      <w:pPr>
        <w:jc w:val="center"/>
        <w:rPr>
          <w:b/>
          <w:sz w:val="28"/>
          <w:szCs w:val="28"/>
        </w:rPr>
      </w:pPr>
    </w:p>
    <w:p w14:paraId="43A942F3" w14:textId="77777777" w:rsidR="009B32A8" w:rsidRDefault="009B32A8" w:rsidP="00801B6B">
      <w:pPr>
        <w:jc w:val="center"/>
        <w:rPr>
          <w:b/>
          <w:sz w:val="28"/>
          <w:szCs w:val="28"/>
        </w:rPr>
      </w:pPr>
    </w:p>
    <w:p w14:paraId="0BD47570" w14:textId="3EA5C9B1" w:rsidR="005D7B05" w:rsidRPr="007778C4" w:rsidRDefault="00185B7E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Details</w:t>
      </w:r>
    </w:p>
    <w:p w14:paraId="70AA0E8B" w14:textId="77777777" w:rsidR="005D7B05" w:rsidRDefault="005D7B05" w:rsidP="005D7B05">
      <w:pPr>
        <w:tabs>
          <w:tab w:val="left" w:pos="10800"/>
        </w:tabs>
        <w:ind w:right="-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Company:</w:t>
      </w:r>
      <w:r w:rsidRPr="005D7B05">
        <w:rPr>
          <w:b/>
          <w:sz w:val="24"/>
          <w:szCs w:val="24"/>
          <w:u w:val="single"/>
        </w:rPr>
        <w:tab/>
      </w:r>
    </w:p>
    <w:p w14:paraId="46FCE7ED" w14:textId="77777777" w:rsidR="00FB4870" w:rsidRDefault="00FB4870" w:rsidP="005D7B05">
      <w:pPr>
        <w:tabs>
          <w:tab w:val="left" w:pos="10800"/>
        </w:tabs>
        <w:ind w:right="-810"/>
        <w:rPr>
          <w:b/>
          <w:sz w:val="24"/>
          <w:szCs w:val="24"/>
        </w:rPr>
      </w:pPr>
      <w:r w:rsidRPr="00BF1C0E">
        <w:rPr>
          <w:b/>
          <w:sz w:val="24"/>
          <w:szCs w:val="24"/>
        </w:rPr>
        <w:t>Contact person</w:t>
      </w:r>
      <w:r w:rsidRPr="00BF1C0E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 </w:t>
      </w:r>
    </w:p>
    <w:p w14:paraId="6F5A4BA2" w14:textId="77777777" w:rsidR="00D56CB0" w:rsidRDefault="005D7B05" w:rsidP="00D56CB0">
      <w:pPr>
        <w:tabs>
          <w:tab w:val="left" w:pos="10800"/>
        </w:tabs>
        <w:ind w:right="-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 w:rsidRPr="005D7B05">
        <w:rPr>
          <w:b/>
          <w:sz w:val="24"/>
          <w:szCs w:val="24"/>
        </w:rPr>
        <w:t xml:space="preserve"> </w:t>
      </w:r>
      <w:r w:rsidRPr="005D7B05">
        <w:rPr>
          <w:b/>
          <w:sz w:val="24"/>
          <w:szCs w:val="24"/>
          <w:u w:val="single"/>
        </w:rPr>
        <w:tab/>
      </w:r>
    </w:p>
    <w:p w14:paraId="76146C33" w14:textId="77777777" w:rsidR="005D7B05" w:rsidRDefault="005D7B05" w:rsidP="00D56CB0">
      <w:pPr>
        <w:tabs>
          <w:tab w:val="left" w:pos="10800"/>
        </w:tabs>
        <w:ind w:right="-810"/>
        <w:rPr>
          <w:b/>
          <w:sz w:val="24"/>
          <w:szCs w:val="24"/>
        </w:rPr>
      </w:pPr>
      <w:r>
        <w:rPr>
          <w:b/>
          <w:sz w:val="24"/>
          <w:szCs w:val="24"/>
        </w:rPr>
        <w:t>Country:</w:t>
      </w:r>
      <w:r w:rsidRPr="005D7B05">
        <w:rPr>
          <w:b/>
          <w:sz w:val="24"/>
          <w:szCs w:val="24"/>
          <w:u w:val="single"/>
        </w:rPr>
        <w:tab/>
      </w:r>
    </w:p>
    <w:p w14:paraId="0887E587" w14:textId="77777777" w:rsidR="005D7B05" w:rsidRDefault="00905F5D" w:rsidP="005D7B05">
      <w:pPr>
        <w:tabs>
          <w:tab w:val="left" w:pos="10800"/>
        </w:tabs>
        <w:ind w:right="-810"/>
        <w:rPr>
          <w:b/>
          <w:sz w:val="24"/>
          <w:szCs w:val="24"/>
        </w:rPr>
      </w:pPr>
      <w:r>
        <w:rPr>
          <w:b/>
          <w:sz w:val="24"/>
          <w:szCs w:val="24"/>
        </w:rPr>
        <w:t>VAT Tax</w:t>
      </w:r>
      <w:r w:rsidR="005D7B05">
        <w:rPr>
          <w:b/>
          <w:sz w:val="24"/>
          <w:szCs w:val="24"/>
        </w:rPr>
        <w:t>:</w:t>
      </w:r>
      <w:r w:rsidR="005D7B05" w:rsidRPr="005D7B05">
        <w:rPr>
          <w:b/>
          <w:sz w:val="24"/>
          <w:szCs w:val="24"/>
          <w:u w:val="single"/>
        </w:rPr>
        <w:tab/>
      </w:r>
    </w:p>
    <w:p w14:paraId="607D2F67" w14:textId="77777777" w:rsidR="007778C4" w:rsidRPr="006D1203" w:rsidRDefault="005D7B05" w:rsidP="006D1203">
      <w:pPr>
        <w:tabs>
          <w:tab w:val="left" w:pos="5760"/>
          <w:tab w:val="left" w:pos="10800"/>
        </w:tabs>
        <w:ind w:right="-81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5D7B05">
        <w:rPr>
          <w:b/>
          <w:sz w:val="24"/>
          <w:szCs w:val="24"/>
        </w:rPr>
        <w:t xml:space="preserve"> </w:t>
      </w:r>
      <w:r w:rsidRPr="005D7B0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Email: </w:t>
      </w:r>
      <w:r w:rsidRPr="005D7B05">
        <w:rPr>
          <w:b/>
          <w:sz w:val="24"/>
          <w:szCs w:val="24"/>
          <w:u w:val="single"/>
        </w:rPr>
        <w:tab/>
      </w:r>
    </w:p>
    <w:p w14:paraId="41259E39" w14:textId="77777777" w:rsidR="00EF7377" w:rsidRDefault="00EF7377" w:rsidP="00046C01">
      <w:pPr>
        <w:spacing w:after="0"/>
        <w:jc w:val="center"/>
        <w:rPr>
          <w:b/>
          <w:iCs/>
          <w:sz w:val="28"/>
          <w:szCs w:val="28"/>
        </w:rPr>
      </w:pPr>
    </w:p>
    <w:p w14:paraId="54DA1C7D" w14:textId="77777777" w:rsidR="009B32A8" w:rsidRDefault="009B32A8" w:rsidP="00801B6B">
      <w:pPr>
        <w:spacing w:after="0"/>
        <w:jc w:val="center"/>
        <w:rPr>
          <w:b/>
          <w:iCs/>
          <w:sz w:val="28"/>
          <w:szCs w:val="28"/>
        </w:rPr>
      </w:pPr>
    </w:p>
    <w:p w14:paraId="2F548907" w14:textId="77777777" w:rsidR="009B32A8" w:rsidRDefault="009B32A8" w:rsidP="00801B6B">
      <w:pPr>
        <w:spacing w:after="0"/>
        <w:jc w:val="center"/>
        <w:rPr>
          <w:b/>
          <w:iCs/>
          <w:sz w:val="28"/>
          <w:szCs w:val="28"/>
        </w:rPr>
      </w:pPr>
    </w:p>
    <w:p w14:paraId="28EB96C6" w14:textId="2FF66190" w:rsidR="00D56CB0" w:rsidRDefault="00D56CB0" w:rsidP="00801B6B">
      <w:pPr>
        <w:spacing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Payment via Bank Transfer</w:t>
      </w:r>
      <w:r w:rsidR="00801B6B">
        <w:rPr>
          <w:b/>
          <w:iCs/>
          <w:sz w:val="28"/>
          <w:szCs w:val="28"/>
        </w:rPr>
        <w:t xml:space="preserve"> </w:t>
      </w:r>
    </w:p>
    <w:p w14:paraId="7103E532" w14:textId="77777777" w:rsidR="00D56CB0" w:rsidRPr="00D56CB0" w:rsidRDefault="00D56CB0" w:rsidP="00BA64AE">
      <w:pPr>
        <w:spacing w:after="0" w:line="240" w:lineRule="auto"/>
        <w:rPr>
          <w:b/>
          <w:iCs/>
          <w:sz w:val="24"/>
          <w:szCs w:val="24"/>
          <w:u w:val="single"/>
        </w:rPr>
      </w:pPr>
      <w:r w:rsidRPr="00D56CB0">
        <w:rPr>
          <w:b/>
          <w:iCs/>
          <w:sz w:val="24"/>
          <w:szCs w:val="24"/>
          <w:u w:val="single"/>
        </w:rPr>
        <w:t>Prepayment:</w:t>
      </w:r>
    </w:p>
    <w:p w14:paraId="3D7CA301" w14:textId="77777777" w:rsidR="00D56CB0" w:rsidRDefault="00D56CB0" w:rsidP="00D56CB0">
      <w:pPr>
        <w:spacing w:after="0" w:line="240" w:lineRule="auto"/>
        <w:rPr>
          <w:iCs/>
          <w:sz w:val="24"/>
          <w:szCs w:val="24"/>
        </w:rPr>
      </w:pPr>
      <w:r w:rsidRPr="00D56CB0">
        <w:rPr>
          <w:iCs/>
          <w:sz w:val="24"/>
          <w:szCs w:val="24"/>
        </w:rPr>
        <w:t>Prepayment/Deposit: 100% prepayment by client, according to the schedule below (</w:t>
      </w:r>
      <w:r w:rsidR="00801B6B" w:rsidRPr="00BF1C0E">
        <w:rPr>
          <w:iCs/>
          <w:sz w:val="24"/>
          <w:szCs w:val="24"/>
        </w:rPr>
        <w:t>180</w:t>
      </w:r>
      <w:r w:rsidRPr="00BF1C0E">
        <w:rPr>
          <w:iCs/>
          <w:sz w:val="24"/>
          <w:szCs w:val="24"/>
        </w:rPr>
        <w:t xml:space="preserve"> days</w:t>
      </w:r>
      <w:r w:rsidRPr="00D56CB0">
        <w:rPr>
          <w:iCs/>
          <w:sz w:val="24"/>
          <w:szCs w:val="24"/>
        </w:rPr>
        <w:t>).  A pro forma invoice will be sent directly from the hotel in due time.</w:t>
      </w:r>
    </w:p>
    <w:p w14:paraId="7186304E" w14:textId="77777777" w:rsidR="00777235" w:rsidRDefault="00777235" w:rsidP="00D56CB0">
      <w:pPr>
        <w:spacing w:after="0" w:line="240" w:lineRule="auto"/>
        <w:rPr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2160"/>
        <w:gridCol w:w="1530"/>
        <w:gridCol w:w="1800"/>
        <w:gridCol w:w="2070"/>
        <w:gridCol w:w="3235"/>
      </w:tblGrid>
      <w:tr w:rsidR="00D56CB0" w14:paraId="43E24709" w14:textId="77777777" w:rsidTr="00D56CB0">
        <w:tc>
          <w:tcPr>
            <w:tcW w:w="1255" w:type="dxa"/>
          </w:tcPr>
          <w:p w14:paraId="43F82376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 w:rsidRPr="00D56CB0">
              <w:rPr>
                <w:b/>
                <w:iCs/>
                <w:sz w:val="24"/>
                <w:szCs w:val="24"/>
              </w:rPr>
              <w:t>Deposit</w:t>
            </w:r>
          </w:p>
        </w:tc>
        <w:tc>
          <w:tcPr>
            <w:tcW w:w="900" w:type="dxa"/>
          </w:tcPr>
          <w:p w14:paraId="21753AEA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 w:rsidRPr="00D56CB0">
              <w:rPr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961DCB4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Deposit Required</w:t>
            </w:r>
          </w:p>
        </w:tc>
        <w:tc>
          <w:tcPr>
            <w:tcW w:w="1530" w:type="dxa"/>
          </w:tcPr>
          <w:p w14:paraId="2A5CB9FC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Due Date</w:t>
            </w:r>
          </w:p>
        </w:tc>
        <w:tc>
          <w:tcPr>
            <w:tcW w:w="1800" w:type="dxa"/>
          </w:tcPr>
          <w:p w14:paraId="4257D529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Deposit</w:t>
            </w:r>
            <w:r w:rsidR="00F52756">
              <w:rPr>
                <w:b/>
                <w:iCs/>
                <w:sz w:val="24"/>
                <w:szCs w:val="24"/>
              </w:rPr>
              <w:t xml:space="preserve"> Paid</w:t>
            </w:r>
          </w:p>
        </w:tc>
        <w:tc>
          <w:tcPr>
            <w:tcW w:w="2070" w:type="dxa"/>
          </w:tcPr>
          <w:p w14:paraId="3E994CDA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Amount</w:t>
            </w:r>
            <w:r w:rsidR="00F52756">
              <w:rPr>
                <w:b/>
                <w:iCs/>
                <w:sz w:val="24"/>
                <w:szCs w:val="24"/>
              </w:rPr>
              <w:t xml:space="preserve"> Due</w:t>
            </w:r>
          </w:p>
        </w:tc>
        <w:tc>
          <w:tcPr>
            <w:tcW w:w="3235" w:type="dxa"/>
          </w:tcPr>
          <w:p w14:paraId="1A262190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Description</w:t>
            </w:r>
          </w:p>
        </w:tc>
      </w:tr>
      <w:tr w:rsidR="00D56CB0" w14:paraId="47CBB59A" w14:textId="77777777" w:rsidTr="00D56CB0">
        <w:tc>
          <w:tcPr>
            <w:tcW w:w="1255" w:type="dxa"/>
          </w:tcPr>
          <w:p w14:paraId="5ACC072C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Rooms</w:t>
            </w:r>
          </w:p>
        </w:tc>
        <w:tc>
          <w:tcPr>
            <w:tcW w:w="900" w:type="dxa"/>
          </w:tcPr>
          <w:p w14:paraId="603C1A32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14:paraId="7CC5C9A0" w14:textId="3DAF8BAA" w:rsidR="00D56CB0" w:rsidRDefault="00185B7E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SEK</w:t>
            </w:r>
          </w:p>
        </w:tc>
        <w:tc>
          <w:tcPr>
            <w:tcW w:w="1530" w:type="dxa"/>
          </w:tcPr>
          <w:p w14:paraId="4AD4FAAE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A1D347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33447A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37D6D590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50% at time of booking</w:t>
            </w:r>
          </w:p>
        </w:tc>
      </w:tr>
      <w:tr w:rsidR="00D56CB0" w14:paraId="55D1DAE4" w14:textId="77777777" w:rsidTr="00D56CB0">
        <w:tc>
          <w:tcPr>
            <w:tcW w:w="1255" w:type="dxa"/>
          </w:tcPr>
          <w:p w14:paraId="6D02A8F0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Rooms</w:t>
            </w:r>
          </w:p>
        </w:tc>
        <w:tc>
          <w:tcPr>
            <w:tcW w:w="900" w:type="dxa"/>
          </w:tcPr>
          <w:p w14:paraId="1A17F0C8" w14:textId="77777777" w:rsidR="00D56CB0" w:rsidRP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14:paraId="237CEA38" w14:textId="1B95DD68" w:rsidR="00D56CB0" w:rsidRDefault="00185B7E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SEK</w:t>
            </w:r>
          </w:p>
        </w:tc>
        <w:tc>
          <w:tcPr>
            <w:tcW w:w="1530" w:type="dxa"/>
          </w:tcPr>
          <w:p w14:paraId="0A323DB7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764104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A8FE63" w14:textId="77777777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7933DDD3" w14:textId="05B2A20F" w:rsidR="00D56CB0" w:rsidRDefault="00D56CB0" w:rsidP="007400C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50% </w:t>
            </w:r>
            <w:r w:rsidR="00185B7E">
              <w:rPr>
                <w:b/>
                <w:iCs/>
                <w:sz w:val="24"/>
                <w:szCs w:val="24"/>
              </w:rPr>
              <w:t xml:space="preserve">1 </w:t>
            </w:r>
            <w:r>
              <w:rPr>
                <w:b/>
                <w:iCs/>
                <w:sz w:val="24"/>
                <w:szCs w:val="24"/>
              </w:rPr>
              <w:t>month prior to arrival</w:t>
            </w:r>
          </w:p>
        </w:tc>
      </w:tr>
    </w:tbl>
    <w:p w14:paraId="6EC744C0" w14:textId="77777777" w:rsidR="005D7B05" w:rsidRPr="008B4A91" w:rsidRDefault="000D2EC9" w:rsidP="00D9135B">
      <w:pPr>
        <w:spacing w:after="0" w:line="240" w:lineRule="auto"/>
        <w:ind w:left="-86"/>
        <w:rPr>
          <w:rFonts w:ascii="Calibri" w:hAnsi="Calibri"/>
          <w:color w:val="FF0000"/>
          <w:sz w:val="24"/>
          <w:szCs w:val="24"/>
          <w:lang w:val="en-GB"/>
        </w:rPr>
      </w:pPr>
      <w:r w:rsidRPr="008B4A91">
        <w:rPr>
          <w:rFonts w:ascii="Calibri" w:hAnsi="Calibri"/>
          <w:color w:val="FF0000"/>
          <w:sz w:val="24"/>
          <w:szCs w:val="24"/>
          <w:lang w:val="en-GB"/>
        </w:rPr>
        <w:t xml:space="preserve">Depending on </w:t>
      </w:r>
      <w:r w:rsidR="005D7B05" w:rsidRPr="008B4A91">
        <w:rPr>
          <w:rFonts w:ascii="Calibri" w:hAnsi="Calibri"/>
          <w:color w:val="FF0000"/>
          <w:sz w:val="24"/>
          <w:szCs w:val="24"/>
          <w:lang w:val="en-GB"/>
        </w:rPr>
        <w:t xml:space="preserve">the size of the </w:t>
      </w:r>
      <w:r w:rsidR="00F52756" w:rsidRPr="008B4A91">
        <w:rPr>
          <w:rFonts w:ascii="Calibri" w:hAnsi="Calibri"/>
          <w:color w:val="FF0000"/>
          <w:sz w:val="24"/>
          <w:szCs w:val="24"/>
          <w:lang w:val="en-GB"/>
        </w:rPr>
        <w:t>group and the number of nights booked</w:t>
      </w:r>
      <w:r w:rsidRPr="008B4A91">
        <w:rPr>
          <w:rFonts w:ascii="Calibri" w:hAnsi="Calibri"/>
          <w:color w:val="FF0000"/>
          <w:sz w:val="24"/>
          <w:szCs w:val="24"/>
          <w:lang w:val="en-GB"/>
        </w:rPr>
        <w:t>,</w:t>
      </w:r>
      <w:r w:rsidR="005D7B05" w:rsidRPr="008B4A91">
        <w:rPr>
          <w:rFonts w:ascii="Calibri" w:hAnsi="Calibri"/>
          <w:color w:val="FF0000"/>
          <w:sz w:val="24"/>
          <w:szCs w:val="24"/>
          <w:lang w:val="en-GB"/>
        </w:rPr>
        <w:t xml:space="preserve"> the hotel reserves the right to adjust the </w:t>
      </w:r>
      <w:r w:rsidR="003A33CF" w:rsidRPr="008B4A91">
        <w:rPr>
          <w:rFonts w:ascii="Calibri" w:hAnsi="Calibri"/>
          <w:color w:val="FF0000"/>
          <w:sz w:val="24"/>
          <w:szCs w:val="24"/>
          <w:lang w:val="en-GB"/>
        </w:rPr>
        <w:t xml:space="preserve">amount of the </w:t>
      </w:r>
      <w:r w:rsidR="005D7B05" w:rsidRPr="008B4A91">
        <w:rPr>
          <w:rFonts w:ascii="Calibri" w:hAnsi="Calibri"/>
          <w:color w:val="FF0000"/>
          <w:sz w:val="24"/>
          <w:szCs w:val="24"/>
          <w:lang w:val="en-GB"/>
        </w:rPr>
        <w:t xml:space="preserve">deposit </w:t>
      </w:r>
      <w:r w:rsidR="003A33CF" w:rsidRPr="008B4A91">
        <w:rPr>
          <w:rFonts w:ascii="Calibri" w:hAnsi="Calibri"/>
          <w:color w:val="FF0000"/>
          <w:sz w:val="24"/>
          <w:szCs w:val="24"/>
          <w:lang w:val="en-GB"/>
        </w:rPr>
        <w:t>and the number of instalments requested.</w:t>
      </w:r>
    </w:p>
    <w:p w14:paraId="6DA5777A" w14:textId="77777777" w:rsidR="00D9135B" w:rsidRDefault="00D9135B" w:rsidP="00D9135B">
      <w:pPr>
        <w:spacing w:after="0" w:line="240" w:lineRule="auto"/>
        <w:ind w:left="-86"/>
        <w:jc w:val="both"/>
        <w:rPr>
          <w:rFonts w:ascii="Calibri" w:hAnsi="Calibri"/>
          <w:sz w:val="24"/>
          <w:szCs w:val="24"/>
          <w:lang w:val="en-GB"/>
        </w:rPr>
      </w:pPr>
    </w:p>
    <w:p w14:paraId="7FE57BBA" w14:textId="0F7F8DCC" w:rsidR="005D7B05" w:rsidRPr="00D56CB0" w:rsidRDefault="005D7B05" w:rsidP="005A2F64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21C88AE1" w14:textId="77777777" w:rsidR="00D9135B" w:rsidRDefault="00D9135B" w:rsidP="00D9135B">
      <w:pPr>
        <w:spacing w:after="0" w:line="240" w:lineRule="auto"/>
        <w:ind w:left="-86"/>
        <w:jc w:val="both"/>
        <w:rPr>
          <w:rFonts w:ascii="Calibri" w:hAnsi="Calibri"/>
          <w:sz w:val="24"/>
          <w:szCs w:val="24"/>
          <w:lang w:val="en-GB"/>
        </w:rPr>
      </w:pPr>
    </w:p>
    <w:p w14:paraId="0F65EB60" w14:textId="77777777" w:rsidR="00757B5B" w:rsidRDefault="00757B5B" w:rsidP="00DA573B">
      <w:pPr>
        <w:spacing w:after="0" w:line="240" w:lineRule="auto"/>
        <w:ind w:left="-86"/>
        <w:rPr>
          <w:rFonts w:ascii="Calibri" w:hAnsi="Calibri"/>
          <w:b/>
          <w:bCs/>
          <w:sz w:val="24"/>
          <w:szCs w:val="24"/>
          <w:lang w:val="en-GB"/>
        </w:rPr>
      </w:pPr>
    </w:p>
    <w:p w14:paraId="2476288F" w14:textId="2FB6B5B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b/>
          <w:bCs/>
          <w:sz w:val="24"/>
          <w:szCs w:val="24"/>
          <w:lang w:val="en-GB"/>
        </w:rPr>
      </w:pPr>
      <w:r w:rsidRPr="00447F4F">
        <w:rPr>
          <w:rFonts w:ascii="Calibri" w:hAnsi="Calibri"/>
          <w:b/>
          <w:bCs/>
          <w:sz w:val="24"/>
          <w:szCs w:val="24"/>
          <w:lang w:val="en-GB"/>
        </w:rPr>
        <w:t>Cancellation policy:</w:t>
      </w:r>
    </w:p>
    <w:p w14:paraId="3C51C549" w14:textId="540376B3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In the event of cancellation of accommodation(s), the purchaser may cancel the contracted hotel rooms with no charge up to 180 days prior to arrival.</w:t>
      </w:r>
    </w:p>
    <w:p w14:paraId="280A628E" w14:textId="7777777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After this date (180 days) no more than 50% of the reserved room(s) per day can be cancelled.</w:t>
      </w:r>
    </w:p>
    <w:p w14:paraId="31739DAE" w14:textId="7777777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0F32F7DE" w14:textId="143F1831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Please note, that in order to cancel the maximum of 50% allowed, the cancellation should occur during period 1 (see below). The original reservation is defined as all rooms (inclusive of VAT) reserved and confirmed on the date stipulated as the last allowed for cancellations.</w:t>
      </w:r>
    </w:p>
    <w:p w14:paraId="315BAC3B" w14:textId="77777777" w:rsidR="00DA573B" w:rsidRPr="00447F4F" w:rsidRDefault="00DA573B" w:rsidP="00DA57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Period 1: 179-120 days prior to arrival, a maximum of 50% of the original reservation per day may be cancelled with no charge.</w:t>
      </w:r>
    </w:p>
    <w:p w14:paraId="24EB3032" w14:textId="7777777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6DA4C30E" w14:textId="77777777" w:rsidR="00DA573B" w:rsidRPr="00447F4F" w:rsidRDefault="00DA573B" w:rsidP="00DA57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Period 2: 119-90 days prior to arrival, a maximum of 35% of the original reservation per day may be cancelled with no charge.</w:t>
      </w:r>
    </w:p>
    <w:p w14:paraId="64DBE892" w14:textId="7777777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537C7829" w14:textId="77777777" w:rsidR="00DA573B" w:rsidRPr="00702AC9" w:rsidRDefault="00DA573B" w:rsidP="00DA57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Period 3: During the period of 89-60 days prior to arrival, a maximum of 10% of the final reservation per day may be cancelled with no charge.</w:t>
      </w:r>
    </w:p>
    <w:p w14:paraId="691A9A1A" w14:textId="77777777" w:rsidR="00DA573B" w:rsidRPr="00702AC9" w:rsidRDefault="00DA573B" w:rsidP="00DA573B">
      <w:pPr>
        <w:spacing w:after="0" w:line="240" w:lineRule="auto"/>
        <w:ind w:left="274"/>
        <w:rPr>
          <w:rFonts w:ascii="Calibri" w:hAnsi="Calibri"/>
          <w:sz w:val="24"/>
          <w:szCs w:val="24"/>
          <w:lang w:val="en-GB"/>
        </w:rPr>
      </w:pPr>
    </w:p>
    <w:p w14:paraId="3C96D626" w14:textId="77777777" w:rsidR="00DA573B" w:rsidRPr="00447F4F" w:rsidRDefault="00DA573B" w:rsidP="00DA57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Period 4: During the period of 59-20 days prior to arrival, a maximum of 5% of the final reservation per day may be cancelled with no charge.</w:t>
      </w:r>
    </w:p>
    <w:p w14:paraId="01A24F91" w14:textId="7777777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4AD32665" w14:textId="2A72733F" w:rsidR="00DA573B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After period 4, cancelled room nights will be subject to a 100% charge, equivalent to the full value, including any applicable VAT.</w:t>
      </w:r>
    </w:p>
    <w:p w14:paraId="60995B79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07DDDC67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3BDDD236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00F30656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61CDB158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0B63BA72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3A385884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438E6486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2033F82E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0B70D30A" w14:textId="77777777" w:rsidR="0026399D" w:rsidRDefault="0026399D" w:rsidP="0026399D">
      <w:pPr>
        <w:pStyle w:val="NoSpacing"/>
        <w:jc w:val="left"/>
        <w:rPr>
          <w:i/>
          <w:iCs/>
          <w:lang w:val="en-GB"/>
        </w:rPr>
      </w:pPr>
    </w:p>
    <w:p w14:paraId="412482D6" w14:textId="1F5D18D9" w:rsidR="0026399D" w:rsidRDefault="0026399D" w:rsidP="0026399D">
      <w:pPr>
        <w:pStyle w:val="NoSpacing"/>
        <w:jc w:val="left"/>
        <w:rPr>
          <w:i/>
          <w:iCs/>
          <w:lang w:val="en-GB"/>
        </w:rPr>
      </w:pPr>
      <w:r>
        <w:rPr>
          <w:i/>
          <w:iCs/>
          <w:lang w:val="en-GB"/>
        </w:rPr>
        <w:t>C</w:t>
      </w:r>
      <w:r w:rsidRPr="00082E99">
        <w:rPr>
          <w:i/>
          <w:iCs/>
          <w:caps/>
          <w:lang w:val="en-GB"/>
        </w:rPr>
        <w:t>ovid</w:t>
      </w:r>
      <w:r>
        <w:rPr>
          <w:i/>
          <w:iCs/>
          <w:lang w:val="en-GB"/>
        </w:rPr>
        <w:t xml:space="preserve">-19 </w:t>
      </w:r>
      <w:r w:rsidR="007D54DD">
        <w:rPr>
          <w:i/>
          <w:iCs/>
          <w:lang w:val="en-GB"/>
        </w:rPr>
        <w:t>C</w:t>
      </w:r>
      <w:r>
        <w:rPr>
          <w:i/>
          <w:iCs/>
          <w:lang w:val="en-GB"/>
        </w:rPr>
        <w:t>lause</w:t>
      </w:r>
    </w:p>
    <w:p w14:paraId="30BC2CB3" w14:textId="5EE5ABC8" w:rsidR="0026399D" w:rsidRDefault="0026399D" w:rsidP="0026399D">
      <w:pPr>
        <w:pStyle w:val="NoSpacing"/>
        <w:jc w:val="left"/>
        <w:rPr>
          <w:lang w:val="en-GB"/>
        </w:rPr>
      </w:pPr>
      <w:r>
        <w:rPr>
          <w:lang w:val="en-GB"/>
        </w:rPr>
        <w:t>The Parties are aware of the virus outbreak of C</w:t>
      </w:r>
      <w:r w:rsidRPr="00980C18">
        <w:rPr>
          <w:caps/>
          <w:lang w:val="en-GB"/>
        </w:rPr>
        <w:t>ovid</w:t>
      </w:r>
      <w:r>
        <w:rPr>
          <w:lang w:val="en-GB"/>
        </w:rPr>
        <w:t xml:space="preserve">-19 and its possible impact on the conditions for fulfilling the obligations under the Contract. Each Party therefore reserves the right not to </w:t>
      </w:r>
      <w:r w:rsidR="007400CB">
        <w:rPr>
          <w:lang w:val="en-GB"/>
        </w:rPr>
        <w:t>fulfil</w:t>
      </w:r>
      <w:r>
        <w:rPr>
          <w:lang w:val="en-GB"/>
        </w:rPr>
        <w:t xml:space="preserve"> certain obligations under the Contract, in whole or in part, and without incurring liability, if the omission is based on reasons related to the virus outbreak of C</w:t>
      </w:r>
      <w:r w:rsidRPr="00980C18">
        <w:rPr>
          <w:caps/>
          <w:lang w:val="en-GB"/>
        </w:rPr>
        <w:t>ovid</w:t>
      </w:r>
      <w:r>
        <w:rPr>
          <w:lang w:val="en-GB"/>
        </w:rPr>
        <w:t xml:space="preserve">-19 and this reason constitutes an impediment or is unreasonably burdensome for the Party’s </w:t>
      </w:r>
      <w:r w:rsidR="007400CB">
        <w:rPr>
          <w:lang w:val="en-GB"/>
        </w:rPr>
        <w:t>fulfilment</w:t>
      </w:r>
      <w:r>
        <w:rPr>
          <w:lang w:val="en-GB"/>
        </w:rPr>
        <w:t xml:space="preserve"> of the Contract. It is incumbent on the Party, when the Party wish</w:t>
      </w:r>
      <w:r w:rsidR="00015BFE">
        <w:rPr>
          <w:lang w:val="en-GB"/>
        </w:rPr>
        <w:t>es</w:t>
      </w:r>
      <w:r>
        <w:rPr>
          <w:lang w:val="en-GB"/>
        </w:rPr>
        <w:t xml:space="preserve"> to invoke this condition as an excuse for the omission to</w:t>
      </w:r>
      <w:r w:rsidR="00C66CEF">
        <w:rPr>
          <w:lang w:val="en-GB"/>
        </w:rPr>
        <w:t>,</w:t>
      </w:r>
      <w:r>
        <w:rPr>
          <w:lang w:val="en-GB"/>
        </w:rPr>
        <w:t xml:space="preserve"> without undue delay</w:t>
      </w:r>
      <w:r w:rsidR="00602887">
        <w:rPr>
          <w:lang w:val="en-GB"/>
        </w:rPr>
        <w:t>,</w:t>
      </w:r>
      <w:r>
        <w:rPr>
          <w:lang w:val="en-GB"/>
        </w:rPr>
        <w:t xml:space="preserve"> notify the other Party thereof in writing. Upon written notice submitted by either Party, the Supplier is entitled to either</w:t>
      </w:r>
      <w:r w:rsidR="00602887">
        <w:rPr>
          <w:lang w:val="en-GB"/>
        </w:rPr>
        <w:t>:</w:t>
      </w:r>
      <w:r>
        <w:rPr>
          <w:lang w:val="en-GB"/>
        </w:rPr>
        <w:t xml:space="preserve"> (i) reschedule the date for the Event following consultation with the Purchaser and taking into account the Purchaser´s opinion on the choice of a new date, or (ii) terminate this Contract, whereby the Parties’ respective </w:t>
      </w:r>
      <w:r w:rsidRPr="00C22471">
        <w:rPr>
          <w:lang w:val="en-GB"/>
        </w:rPr>
        <w:t>performances</w:t>
      </w:r>
      <w:r>
        <w:rPr>
          <w:lang w:val="en-GB"/>
        </w:rPr>
        <w:t xml:space="preserve"> shall be returned</w:t>
      </w:r>
      <w:r w:rsidR="0099214A">
        <w:rPr>
          <w:lang w:val="en-GB"/>
        </w:rPr>
        <w:t>.</w:t>
      </w:r>
      <w:r>
        <w:rPr>
          <w:lang w:val="en-GB"/>
        </w:rPr>
        <w:t xml:space="preserve"> </w:t>
      </w:r>
      <w:r w:rsidR="00726086">
        <w:rPr>
          <w:lang w:val="en-GB"/>
        </w:rPr>
        <w:t>H</w:t>
      </w:r>
      <w:r>
        <w:rPr>
          <w:lang w:val="en-GB"/>
        </w:rPr>
        <w:t xml:space="preserve">owever, the Supplier is entitled to compensation for any costs incurred in connection with the Contract. </w:t>
      </w:r>
    </w:p>
    <w:p w14:paraId="03BBF059" w14:textId="77777777" w:rsidR="0026399D" w:rsidRPr="00447F4F" w:rsidRDefault="0026399D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2174DDCA" w14:textId="7777777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1B6D5F4F" w14:textId="2BFC0D12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  <w:r w:rsidRPr="00C22471">
        <w:rPr>
          <w:rFonts w:ascii="Calibri" w:hAnsi="Calibri"/>
          <w:sz w:val="24"/>
          <w:szCs w:val="24"/>
          <w:lang w:val="en-GB"/>
        </w:rPr>
        <w:t>In the case of no-shows, delayed arrival, or early departure</w:t>
      </w:r>
      <w:r w:rsidR="00726086" w:rsidRPr="00C22471">
        <w:rPr>
          <w:rFonts w:ascii="Calibri" w:hAnsi="Calibri"/>
          <w:sz w:val="24"/>
          <w:szCs w:val="24"/>
          <w:lang w:val="en-GB"/>
        </w:rPr>
        <w:t>,</w:t>
      </w:r>
      <w:r w:rsidRPr="00C22471">
        <w:rPr>
          <w:rFonts w:ascii="Calibri" w:hAnsi="Calibri"/>
          <w:sz w:val="24"/>
          <w:szCs w:val="24"/>
          <w:lang w:val="en-GB"/>
        </w:rPr>
        <w:t xml:space="preserve"> the hotel is entitled to payment equivalent to the full price of the original reservation (all nights) as booked.</w:t>
      </w:r>
    </w:p>
    <w:p w14:paraId="4DEE13C5" w14:textId="77777777" w:rsidR="00DA573B" w:rsidRPr="00447F4F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</w:p>
    <w:p w14:paraId="41793DA4" w14:textId="77777777" w:rsidR="00DA573B" w:rsidRDefault="00DA573B" w:rsidP="00DA573B">
      <w:pPr>
        <w:spacing w:after="0" w:line="240" w:lineRule="auto"/>
        <w:ind w:left="-86"/>
        <w:rPr>
          <w:rFonts w:ascii="Calibri" w:hAnsi="Calibri"/>
          <w:sz w:val="24"/>
          <w:szCs w:val="24"/>
          <w:lang w:val="en-GB"/>
        </w:rPr>
      </w:pPr>
      <w:r w:rsidRPr="00447F4F">
        <w:rPr>
          <w:rFonts w:ascii="Calibri" w:hAnsi="Calibri"/>
          <w:sz w:val="24"/>
          <w:szCs w:val="24"/>
          <w:lang w:val="en-GB"/>
        </w:rPr>
        <w:t>All changes and amendments requested by the client must be confirmed in writing by the hotel to be validated.</w:t>
      </w:r>
    </w:p>
    <w:p w14:paraId="70713752" w14:textId="77777777" w:rsidR="00DA573B" w:rsidRDefault="00DA573B" w:rsidP="00DA573B">
      <w:pPr>
        <w:spacing w:after="0" w:line="240" w:lineRule="auto"/>
        <w:ind w:left="-90"/>
        <w:rPr>
          <w:rFonts w:ascii="Calibri" w:hAnsi="Calibri"/>
          <w:sz w:val="24"/>
          <w:szCs w:val="24"/>
          <w:lang w:val="en-GB"/>
        </w:rPr>
      </w:pPr>
    </w:p>
    <w:p w14:paraId="426433E8" w14:textId="77777777" w:rsidR="00DA573B" w:rsidRDefault="00DA573B" w:rsidP="00DA573B">
      <w:pPr>
        <w:spacing w:after="0" w:line="240" w:lineRule="auto"/>
        <w:ind w:left="-90"/>
        <w:rPr>
          <w:b/>
          <w:sz w:val="24"/>
          <w:szCs w:val="24"/>
        </w:rPr>
      </w:pPr>
      <w:r w:rsidRPr="00362E21">
        <w:rPr>
          <w:b/>
          <w:sz w:val="24"/>
          <w:szCs w:val="24"/>
        </w:rPr>
        <w:t xml:space="preserve">All prices are stated in </w:t>
      </w:r>
      <w:r>
        <w:rPr>
          <w:b/>
          <w:sz w:val="24"/>
          <w:szCs w:val="24"/>
        </w:rPr>
        <w:t>Swedish</w:t>
      </w:r>
      <w:r w:rsidRPr="00362E21">
        <w:rPr>
          <w:b/>
          <w:sz w:val="24"/>
          <w:szCs w:val="24"/>
        </w:rPr>
        <w:t xml:space="preserve"> Kroner.</w:t>
      </w:r>
    </w:p>
    <w:p w14:paraId="19283382" w14:textId="77777777" w:rsidR="00DA573B" w:rsidRDefault="00DA573B" w:rsidP="00DA573B">
      <w:pPr>
        <w:spacing w:after="0" w:line="240" w:lineRule="auto"/>
        <w:rPr>
          <w:b/>
          <w:sz w:val="24"/>
          <w:szCs w:val="24"/>
        </w:rPr>
      </w:pPr>
    </w:p>
    <w:p w14:paraId="364CCF1B" w14:textId="01EA6B97" w:rsidR="00DA573B" w:rsidRDefault="00DA573B" w:rsidP="00DA573B">
      <w:pPr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your completed form to </w:t>
      </w:r>
      <w:hyperlink r:id="rId10" w:history="1">
        <w:r w:rsidRPr="00B73809">
          <w:rPr>
            <w:rStyle w:val="Hyperlink"/>
            <w:b/>
            <w:sz w:val="24"/>
            <w:szCs w:val="24"/>
          </w:rPr>
          <w:t>rose.puleo@neurotoxins.org</w:t>
        </w:r>
      </w:hyperlink>
      <w:r>
        <w:rPr>
          <w:b/>
          <w:sz w:val="24"/>
          <w:szCs w:val="24"/>
        </w:rPr>
        <w:t xml:space="preserve"> and </w:t>
      </w:r>
      <w:hyperlink r:id="rId11" w:history="1">
        <w:r w:rsidRPr="002F16D1">
          <w:rPr>
            <w:rStyle w:val="Hyperlink"/>
            <w:b/>
            <w:sz w:val="24"/>
            <w:szCs w:val="24"/>
          </w:rPr>
          <w:t>groups@gothiatowers.com</w:t>
        </w:r>
      </w:hyperlink>
      <w:r>
        <w:rPr>
          <w:b/>
          <w:sz w:val="24"/>
          <w:szCs w:val="24"/>
        </w:rPr>
        <w:t xml:space="preserve"> </w:t>
      </w:r>
    </w:p>
    <w:sectPr w:rsidR="00DA573B" w:rsidSect="00046C01">
      <w:headerReference w:type="default" r:id="rId12"/>
      <w:footerReference w:type="default" r:id="rId13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9A3C" w14:textId="77777777" w:rsidR="00D65A9D" w:rsidRDefault="00D65A9D" w:rsidP="007E4290">
      <w:pPr>
        <w:spacing w:after="0" w:line="240" w:lineRule="auto"/>
      </w:pPr>
      <w:r>
        <w:separator/>
      </w:r>
    </w:p>
  </w:endnote>
  <w:endnote w:type="continuationSeparator" w:id="0">
    <w:p w14:paraId="73369BE2" w14:textId="77777777" w:rsidR="00D65A9D" w:rsidRDefault="00D65A9D" w:rsidP="007E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496" w14:textId="55FCF1DC" w:rsidR="007400CB" w:rsidRPr="00757B5B" w:rsidRDefault="007400CB" w:rsidP="009B32A8">
    <w:pPr>
      <w:pStyle w:val="primary-bread-font"/>
      <w:spacing w:before="0" w:beforeAutospacing="0" w:after="0" w:afterAutospacing="0"/>
      <w:jc w:val="center"/>
      <w:rPr>
        <w:rFonts w:asciiTheme="minorHAnsi" w:hAnsiTheme="minorHAnsi" w:cstheme="minorHAnsi"/>
        <w:b/>
        <w:bCs/>
        <w:lang w:val="sv-SE"/>
      </w:rPr>
    </w:pPr>
    <w:r w:rsidRPr="00757B5B">
      <w:rPr>
        <w:rFonts w:asciiTheme="minorHAnsi" w:hAnsiTheme="minorHAnsi" w:cstheme="minorHAnsi"/>
        <w:b/>
        <w:bCs/>
        <w:lang w:val="sv-SE"/>
      </w:rPr>
      <w:t>Svenska Mässan Gothia Towers</w:t>
    </w:r>
  </w:p>
  <w:p w14:paraId="1B6BC2CB" w14:textId="3983BA03" w:rsidR="007400CB" w:rsidRPr="00757B5B" w:rsidRDefault="007400CB" w:rsidP="009B32A8">
    <w:pPr>
      <w:pStyle w:val="primary-bread-font"/>
      <w:spacing w:before="0" w:beforeAutospacing="0" w:after="0" w:afterAutospacing="0"/>
      <w:jc w:val="center"/>
      <w:rPr>
        <w:rFonts w:asciiTheme="minorHAnsi" w:hAnsiTheme="minorHAnsi" w:cstheme="minorHAnsi"/>
        <w:b/>
        <w:bCs/>
        <w:lang w:val="sv-SE"/>
      </w:rPr>
    </w:pPr>
    <w:r w:rsidRPr="00757B5B">
      <w:rPr>
        <w:rFonts w:asciiTheme="minorHAnsi" w:hAnsiTheme="minorHAnsi" w:cstheme="minorHAnsi"/>
        <w:b/>
        <w:bCs/>
        <w:lang w:val="sv-SE"/>
      </w:rPr>
      <w:t>Mässans gata 24</w:t>
    </w:r>
  </w:p>
  <w:p w14:paraId="101CB759" w14:textId="18808122" w:rsidR="007400CB" w:rsidRDefault="007400CB" w:rsidP="009B32A8">
    <w:pPr>
      <w:pStyle w:val="primary-bread-font"/>
      <w:spacing w:before="0" w:beforeAutospacing="0" w:after="0" w:afterAutospacing="0"/>
      <w:jc w:val="center"/>
      <w:rPr>
        <w:rFonts w:asciiTheme="minorHAnsi" w:hAnsiTheme="minorHAnsi" w:cstheme="minorHAnsi"/>
        <w:b/>
        <w:bCs/>
        <w:lang w:val="sv-SE"/>
      </w:rPr>
    </w:pPr>
    <w:r w:rsidRPr="00757B5B">
      <w:rPr>
        <w:rFonts w:asciiTheme="minorHAnsi" w:hAnsiTheme="minorHAnsi" w:cstheme="minorHAnsi"/>
        <w:b/>
        <w:bCs/>
        <w:lang w:val="sv-SE"/>
      </w:rPr>
      <w:t>402 26</w:t>
    </w:r>
    <w:r>
      <w:rPr>
        <w:rFonts w:asciiTheme="minorHAnsi" w:hAnsiTheme="minorHAnsi" w:cstheme="minorHAnsi"/>
        <w:b/>
        <w:bCs/>
        <w:lang w:val="sv-SE"/>
      </w:rPr>
      <w:t xml:space="preserve"> Gothenburg</w:t>
    </w:r>
  </w:p>
  <w:p w14:paraId="14E6B857" w14:textId="4B7124EC" w:rsidR="007400CB" w:rsidRPr="00757B5B" w:rsidRDefault="007400CB" w:rsidP="009B32A8">
    <w:pPr>
      <w:pStyle w:val="primary-bread-font"/>
      <w:spacing w:before="0" w:beforeAutospacing="0" w:after="0" w:afterAutospacing="0"/>
      <w:jc w:val="center"/>
      <w:rPr>
        <w:rFonts w:asciiTheme="minorHAnsi" w:hAnsiTheme="minorHAnsi" w:cstheme="minorHAnsi"/>
        <w:b/>
        <w:bCs/>
        <w:lang w:val="sv-SE"/>
      </w:rPr>
    </w:pPr>
    <w:r>
      <w:rPr>
        <w:rFonts w:asciiTheme="minorHAnsi" w:hAnsiTheme="minorHAnsi" w:cstheme="minorHAnsi"/>
        <w:b/>
        <w:bCs/>
        <w:lang w:val="sv-SE"/>
      </w:rPr>
      <w:t>Sweden</w:t>
    </w:r>
  </w:p>
  <w:p w14:paraId="3CB7122C" w14:textId="44B989E8" w:rsidR="007400CB" w:rsidRPr="00757B5B" w:rsidRDefault="007400CB" w:rsidP="006D1203">
    <w:pPr>
      <w:pStyle w:val="Footer"/>
      <w:jc w:val="center"/>
      <w:rPr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32E6" w14:textId="77777777" w:rsidR="00D65A9D" w:rsidRDefault="00D65A9D" w:rsidP="007E4290">
      <w:pPr>
        <w:spacing w:after="0" w:line="240" w:lineRule="auto"/>
      </w:pPr>
      <w:r>
        <w:separator/>
      </w:r>
    </w:p>
  </w:footnote>
  <w:footnote w:type="continuationSeparator" w:id="0">
    <w:p w14:paraId="64298216" w14:textId="77777777" w:rsidR="00D65A9D" w:rsidRDefault="00D65A9D" w:rsidP="007E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E89F" w14:textId="1A6A7CA0" w:rsidR="007400CB" w:rsidRPr="00EF7377" w:rsidRDefault="007400CB" w:rsidP="009B32A8">
    <w:pPr>
      <w:pStyle w:val="Header"/>
      <w:rPr>
        <w:b/>
        <w:bCs/>
        <w:sz w:val="32"/>
        <w:szCs w:val="32"/>
      </w:rPr>
    </w:pPr>
    <w:r w:rsidRPr="00EF7377">
      <w:rPr>
        <w:b/>
        <w:bCs/>
        <w:sz w:val="32"/>
        <w:szCs w:val="32"/>
      </w:rPr>
      <w:t>GOTHIA TOWERS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6CAE"/>
    <w:multiLevelType w:val="hybridMultilevel"/>
    <w:tmpl w:val="6226D64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90"/>
    <w:rsid w:val="00015BFE"/>
    <w:rsid w:val="00046C01"/>
    <w:rsid w:val="00082E99"/>
    <w:rsid w:val="000D2EC9"/>
    <w:rsid w:val="00185B7E"/>
    <w:rsid w:val="001E10A5"/>
    <w:rsid w:val="0026399D"/>
    <w:rsid w:val="002A0378"/>
    <w:rsid w:val="00322B08"/>
    <w:rsid w:val="0033453B"/>
    <w:rsid w:val="003555EF"/>
    <w:rsid w:val="00362E21"/>
    <w:rsid w:val="00375549"/>
    <w:rsid w:val="00392579"/>
    <w:rsid w:val="003A33CF"/>
    <w:rsid w:val="003A4722"/>
    <w:rsid w:val="004B269C"/>
    <w:rsid w:val="00580330"/>
    <w:rsid w:val="005A2F64"/>
    <w:rsid w:val="005D7B05"/>
    <w:rsid w:val="00602887"/>
    <w:rsid w:val="00612D2D"/>
    <w:rsid w:val="0066738B"/>
    <w:rsid w:val="006A14BA"/>
    <w:rsid w:val="006A1DD2"/>
    <w:rsid w:val="006D1203"/>
    <w:rsid w:val="00726086"/>
    <w:rsid w:val="007400CB"/>
    <w:rsid w:val="00757B5B"/>
    <w:rsid w:val="00765C66"/>
    <w:rsid w:val="00766947"/>
    <w:rsid w:val="00777235"/>
    <w:rsid w:val="007778C4"/>
    <w:rsid w:val="007D54DD"/>
    <w:rsid w:val="007E4290"/>
    <w:rsid w:val="00801B6B"/>
    <w:rsid w:val="0084454B"/>
    <w:rsid w:val="00884FD4"/>
    <w:rsid w:val="008B4A91"/>
    <w:rsid w:val="008E3580"/>
    <w:rsid w:val="00905F5D"/>
    <w:rsid w:val="009174BA"/>
    <w:rsid w:val="00980C18"/>
    <w:rsid w:val="0099214A"/>
    <w:rsid w:val="009B32A8"/>
    <w:rsid w:val="009C6ED8"/>
    <w:rsid w:val="00AA2E11"/>
    <w:rsid w:val="00BA64AE"/>
    <w:rsid w:val="00BC0578"/>
    <w:rsid w:val="00BF1C0E"/>
    <w:rsid w:val="00C22471"/>
    <w:rsid w:val="00C262DF"/>
    <w:rsid w:val="00C66CEF"/>
    <w:rsid w:val="00D13AA5"/>
    <w:rsid w:val="00D56CB0"/>
    <w:rsid w:val="00D65A9D"/>
    <w:rsid w:val="00D9135B"/>
    <w:rsid w:val="00D923EC"/>
    <w:rsid w:val="00DA573B"/>
    <w:rsid w:val="00DD024A"/>
    <w:rsid w:val="00E5086D"/>
    <w:rsid w:val="00EE3ABF"/>
    <w:rsid w:val="00EF7377"/>
    <w:rsid w:val="00F35051"/>
    <w:rsid w:val="00F52756"/>
    <w:rsid w:val="00F9502E"/>
    <w:rsid w:val="00F96564"/>
    <w:rsid w:val="00FB4870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71CAA"/>
  <w15:chartTrackingRefBased/>
  <w15:docId w15:val="{A09510B5-8026-4D3C-81E7-2BAD32D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90"/>
  </w:style>
  <w:style w:type="paragraph" w:styleId="Footer">
    <w:name w:val="footer"/>
    <w:basedOn w:val="Normal"/>
    <w:link w:val="FooterChar"/>
    <w:uiPriority w:val="99"/>
    <w:unhideWhenUsed/>
    <w:rsid w:val="007E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90"/>
  </w:style>
  <w:style w:type="paragraph" w:styleId="ListParagraph">
    <w:name w:val="List Paragraph"/>
    <w:basedOn w:val="Normal"/>
    <w:uiPriority w:val="34"/>
    <w:qFormat/>
    <w:rsid w:val="007778C4"/>
    <w:pPr>
      <w:ind w:left="720"/>
      <w:contextualSpacing/>
    </w:pPr>
    <w:rPr>
      <w:lang w:val="da-DK"/>
    </w:rPr>
  </w:style>
  <w:style w:type="paragraph" w:customStyle="1" w:styleId="primary-bread-font">
    <w:name w:val="primary-bread-font"/>
    <w:basedOn w:val="Normal"/>
    <w:rsid w:val="009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73B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399D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26399D"/>
    <w:pPr>
      <w:spacing w:after="0" w:line="276" w:lineRule="auto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oups@gothiatow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se.puleo@neurotoxin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3A6F65F598F4D8DE97188114BCBB0" ma:contentTypeVersion="9" ma:contentTypeDescription="Create a new document." ma:contentTypeScope="" ma:versionID="e541a4f97670cbd1968f654cb5de0e7f">
  <xsd:schema xmlns:xsd="http://www.w3.org/2001/XMLSchema" xmlns:xs="http://www.w3.org/2001/XMLSchema" xmlns:p="http://schemas.microsoft.com/office/2006/metadata/properties" xmlns:ns3="9ba87dfe-5695-4b66-a95b-9edd6419c2af" targetNamespace="http://schemas.microsoft.com/office/2006/metadata/properties" ma:root="true" ma:fieldsID="d1c432e8b5cee2eb4a886696aa55de4f" ns3:_="">
    <xsd:import namespace="9ba87dfe-5695-4b66-a95b-9edd6419c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87dfe-5695-4b66-a95b-9edd6419c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60146-BB66-4D1B-AB0D-DCEB8B0F7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87dfe-5695-4b66-a95b-9edd6419c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7AC40-FA4A-4AC1-9C8C-AB895AC51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967AE-F5C2-4EBE-A4E9-E865B142E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Puleo</dc:creator>
  <cp:keywords/>
  <dc:description/>
  <cp:lastModifiedBy>Rose Puleo</cp:lastModifiedBy>
  <cp:revision>15</cp:revision>
  <dcterms:created xsi:type="dcterms:W3CDTF">2020-04-29T15:14:00Z</dcterms:created>
  <dcterms:modified xsi:type="dcterms:W3CDTF">2020-04-29T15:38:00Z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0x01010064B3A6F65F598F4D8DE97188114BCBB0</vt:lpwstr>
  </property>
</Properties>
</file>